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338281B6" w:rsidR="005E7182" w:rsidRPr="00DD23B7" w:rsidRDefault="00F1538F" w:rsidP="436848BA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37418177"/>
      <w:bookmarkStart w:id="1" w:name="_Hlk148433929"/>
      <w:r w:rsidRPr="002C37A2">
        <w:rPr>
          <w:sz w:val="24"/>
          <w:szCs w:val="24"/>
        </w:rPr>
        <w:t>3GPP TSG RAN2#133</w:t>
      </w:r>
      <w:r w:rsidR="005E7182">
        <w:tab/>
      </w:r>
      <w:r w:rsidR="002C55B4" w:rsidRPr="002C55B4">
        <w:rPr>
          <w:noProof w:val="0"/>
          <w:sz w:val="24"/>
          <w:szCs w:val="24"/>
        </w:rPr>
        <w:t>R2-2600908</w:t>
      </w:r>
    </w:p>
    <w:bookmarkEnd w:id="0"/>
    <w:bookmarkEnd w:id="1"/>
    <w:p w14:paraId="5CB9180A" w14:textId="77777777" w:rsidR="0017521A" w:rsidRPr="00137C44" w:rsidRDefault="0017521A" w:rsidP="0017521A">
      <w:pPr>
        <w:pStyle w:val="Header"/>
        <w:rPr>
          <w:bCs/>
          <w:noProof w:val="0"/>
          <w:sz w:val="24"/>
          <w:szCs w:val="24"/>
        </w:rPr>
      </w:pPr>
      <w:r w:rsidRPr="002C37A2">
        <w:rPr>
          <w:sz w:val="24"/>
          <w:szCs w:val="24"/>
        </w:rPr>
        <w:t>Gothenburg, Sweden, 9 – 13 February, 2026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3752CF29" w:rsidR="0034111C" w:rsidRPr="001D3E33" w:rsidRDefault="0034111C" w:rsidP="001D3E33">
      <w:pPr>
        <w:pStyle w:val="CRCoverPage"/>
        <w:tabs>
          <w:tab w:val="left" w:pos="1620"/>
        </w:tabs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D3E33">
        <w:rPr>
          <w:rFonts w:cs="Arial"/>
          <w:b/>
          <w:bCs/>
          <w:sz w:val="24"/>
          <w:szCs w:val="24"/>
          <w:lang w:val="en-US"/>
        </w:rPr>
        <w:t>Agenda item</w:t>
      </w:r>
      <w:r w:rsidR="001D3E33" w:rsidRPr="001D3E33">
        <w:rPr>
          <w:rFonts w:cs="Arial"/>
          <w:b/>
          <w:bCs/>
          <w:sz w:val="24"/>
          <w:szCs w:val="24"/>
          <w:lang w:val="en-US"/>
        </w:rPr>
        <w:tab/>
      </w:r>
      <w:r w:rsidRPr="001D3E33">
        <w:rPr>
          <w:rFonts w:cs="Arial"/>
          <w:b/>
          <w:bCs/>
          <w:sz w:val="24"/>
          <w:szCs w:val="24"/>
          <w:lang w:val="en-US"/>
        </w:rPr>
        <w:t>:</w:t>
      </w:r>
      <w:r w:rsidR="001D3E33" w:rsidRPr="001D3E33">
        <w:rPr>
          <w:rFonts w:cs="Arial"/>
          <w:b/>
          <w:bCs/>
          <w:sz w:val="24"/>
          <w:lang w:val="en-US"/>
        </w:rPr>
        <w:t xml:space="preserve"> </w:t>
      </w:r>
      <w:r w:rsidR="002C55B4">
        <w:rPr>
          <w:rFonts w:cs="Arial"/>
          <w:b/>
          <w:bCs/>
          <w:sz w:val="24"/>
          <w:lang w:val="en-US"/>
        </w:rPr>
        <w:t>10.4</w:t>
      </w:r>
    </w:p>
    <w:p w14:paraId="30E02942" w14:textId="16084344" w:rsidR="00E128F2" w:rsidRPr="00DD23B7" w:rsidRDefault="0034111C" w:rsidP="001D3E33">
      <w:pPr>
        <w:tabs>
          <w:tab w:val="left" w:pos="1620"/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DD23B7">
        <w:rPr>
          <w:rFonts w:ascii="Arial" w:hAnsi="Arial" w:cs="Arial"/>
          <w:b/>
        </w:rPr>
        <w:t>Source</w:t>
      </w:r>
      <w:r w:rsidR="001D3E33">
        <w:rPr>
          <w:rFonts w:ascii="Arial" w:hAnsi="Arial" w:cs="Arial"/>
          <w:b/>
        </w:rPr>
        <w:tab/>
      </w:r>
      <w:r w:rsidRPr="00DD23B7">
        <w:rPr>
          <w:rFonts w:ascii="Arial" w:hAnsi="Arial" w:cs="Arial"/>
          <w:b/>
        </w:rPr>
        <w:t>:</w:t>
      </w:r>
      <w:r w:rsidR="001D3E33">
        <w:rPr>
          <w:rFonts w:ascii="Arial" w:hAnsi="Arial" w:cs="Arial"/>
          <w:b/>
        </w:rPr>
        <w:t xml:space="preserve"> </w:t>
      </w:r>
      <w:r w:rsidR="00DE032B">
        <w:rPr>
          <w:rFonts w:ascii="Arial" w:hAnsi="Arial" w:cs="Arial"/>
          <w:b/>
        </w:rPr>
        <w:t>Jio Platforms Limited</w:t>
      </w:r>
    </w:p>
    <w:p w14:paraId="30E02943" w14:textId="1C6C1756" w:rsidR="0034111C" w:rsidRPr="00DD23B7" w:rsidRDefault="0034111C" w:rsidP="000E7CAA">
      <w:pPr>
        <w:tabs>
          <w:tab w:val="left" w:pos="1620"/>
        </w:tabs>
        <w:ind w:left="1800" w:hanging="1800"/>
        <w:rPr>
          <w:rFonts w:ascii="Arial" w:hAnsi="Arial" w:cs="Arial"/>
          <w:b/>
        </w:rPr>
      </w:pPr>
      <w:r w:rsidRPr="00DD23B7">
        <w:rPr>
          <w:rFonts w:ascii="Arial" w:hAnsi="Arial" w:cs="Arial"/>
          <w:b/>
        </w:rPr>
        <w:t>Title</w:t>
      </w:r>
      <w:r w:rsidR="001D3E33">
        <w:rPr>
          <w:rFonts w:ascii="Arial" w:hAnsi="Arial" w:cs="Arial"/>
          <w:b/>
        </w:rPr>
        <w:tab/>
      </w:r>
      <w:r w:rsidRPr="00DD23B7">
        <w:rPr>
          <w:rFonts w:ascii="Arial" w:hAnsi="Arial" w:cs="Arial"/>
          <w:b/>
        </w:rPr>
        <w:t>:</w:t>
      </w:r>
      <w:r w:rsidR="001D3E33">
        <w:rPr>
          <w:rFonts w:ascii="Arial" w:hAnsi="Arial" w:cs="Arial"/>
          <w:b/>
        </w:rPr>
        <w:t xml:space="preserve"> </w:t>
      </w:r>
      <w:r w:rsidR="000E7CAA" w:rsidRPr="000E7CAA">
        <w:rPr>
          <w:rFonts w:ascii="Arial" w:hAnsi="Arial" w:cs="Arial"/>
          <w:b/>
        </w:rPr>
        <w:t>Considerations on Split Handover Configuration for Resource-Efficient Mobility in 6G</w:t>
      </w:r>
    </w:p>
    <w:p w14:paraId="11685FF7" w14:textId="169F8C39" w:rsidR="00B87A2D" w:rsidRPr="006A5BE2" w:rsidRDefault="0034111C" w:rsidP="006A5BE2">
      <w:pPr>
        <w:tabs>
          <w:tab w:val="left" w:pos="1620"/>
        </w:tabs>
        <w:ind w:left="1985" w:hanging="1985"/>
        <w:rPr>
          <w:rFonts w:ascii="Arial" w:hAnsi="Arial" w:cs="Arial"/>
          <w:b/>
          <w:bCs/>
        </w:rPr>
      </w:pPr>
      <w:r w:rsidRPr="00DD23B7">
        <w:rPr>
          <w:rFonts w:ascii="Arial" w:hAnsi="Arial" w:cs="Arial"/>
          <w:b/>
        </w:rPr>
        <w:t xml:space="preserve">Document </w:t>
      </w:r>
      <w:r w:rsidR="3E61DC49" w:rsidRPr="00DD23B7">
        <w:rPr>
          <w:rFonts w:ascii="Arial" w:hAnsi="Arial" w:cs="Arial"/>
          <w:b/>
        </w:rPr>
        <w:t>for</w:t>
      </w:r>
      <w:r w:rsidR="001D3E33">
        <w:rPr>
          <w:rFonts w:ascii="Arial" w:hAnsi="Arial" w:cs="Arial"/>
          <w:b/>
        </w:rPr>
        <w:tab/>
      </w:r>
      <w:r w:rsidR="3E61DC49" w:rsidRPr="00DD23B7">
        <w:rPr>
          <w:rFonts w:ascii="Arial" w:hAnsi="Arial" w:cs="Arial"/>
          <w:b/>
        </w:rPr>
        <w:t>:</w:t>
      </w:r>
      <w:r w:rsidR="001D3E33">
        <w:rPr>
          <w:rFonts w:ascii="Arial" w:hAnsi="Arial" w:cs="Arial"/>
          <w:b/>
        </w:rPr>
        <w:t xml:space="preserve"> </w:t>
      </w:r>
      <w:r w:rsidR="00342B16">
        <w:rPr>
          <w:rFonts w:ascii="Arial" w:hAnsi="Arial" w:cs="Arial"/>
          <w:b/>
        </w:rPr>
        <w:t>Discussion and Decision</w:t>
      </w:r>
    </w:p>
    <w:p w14:paraId="7CF7938E" w14:textId="4CE60BAE" w:rsidR="00ED1327" w:rsidRDefault="00EE7FA7" w:rsidP="003E16DD">
      <w:pPr>
        <w:pStyle w:val="Heading1"/>
      </w:pPr>
      <w:r w:rsidRPr="003E16DD">
        <w:t>Introduction</w:t>
      </w:r>
    </w:p>
    <w:p w14:paraId="0A6F6F9F" w14:textId="0CDC46D8" w:rsidR="00075832" w:rsidRDefault="001E68FC" w:rsidP="0075437A">
      <w:pPr>
        <w:jc w:val="both"/>
      </w:pPr>
      <w:bookmarkStart w:id="2" w:name="_Hlk510705081"/>
      <w:r w:rsidRPr="001E68FC">
        <w:t>Mobility is a fundamental capability of NR and remains a key design aspect for 6G, impacting user experience, interruption time, and radio resource efficiency. In NR, multiple mobility mechanisms have been specified, including Layer-3 handover, Conditional Handover (CHO), and L1/L2 Triggered Mobility (LTM), primarily targeting robustness and interruption time reduction.</w:t>
      </w:r>
    </w:p>
    <w:p w14:paraId="5454FFF3" w14:textId="77777777" w:rsidR="00953FAE" w:rsidRPr="00F20D61" w:rsidRDefault="00953FAE" w:rsidP="00953F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50" w:hanging="360"/>
        <w:rPr>
          <w:b/>
          <w:bCs/>
        </w:rPr>
      </w:pPr>
      <w:r w:rsidRPr="00F20D61">
        <w:rPr>
          <w:b/>
          <w:bCs/>
        </w:rPr>
        <w:t xml:space="preserve">Agreements </w:t>
      </w:r>
      <w:r>
        <w:rPr>
          <w:b/>
          <w:bCs/>
        </w:rPr>
        <w:t>on mobility</w:t>
      </w:r>
    </w:p>
    <w:p w14:paraId="5BEBFFFE" w14:textId="77777777" w:rsidR="00953FAE" w:rsidRDefault="00953FAE" w:rsidP="00953F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50" w:hanging="360"/>
      </w:pPr>
      <w:r>
        <w:t>1.</w:t>
      </w:r>
      <w:r>
        <w:tab/>
        <w:t>Study at least the following mobility schemes</w:t>
      </w:r>
    </w:p>
    <w:p w14:paraId="07C890A3" w14:textId="77777777" w:rsidR="00953FAE" w:rsidRPr="00D232EE" w:rsidRDefault="00953FAE" w:rsidP="00953FAE">
      <w:pPr>
        <w:pStyle w:val="Agreement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  <w:rPr>
          <w:b w:val="0"/>
          <w:bCs/>
          <w:sz w:val="24"/>
        </w:rPr>
      </w:pPr>
      <w:r w:rsidRPr="00D232EE">
        <w:rPr>
          <w:b w:val="0"/>
          <w:bCs/>
          <w:sz w:val="24"/>
        </w:rPr>
        <w:t xml:space="preserve">NW configures and triggers the mobility without pre-configuration, and UE performs it immediately </w:t>
      </w:r>
    </w:p>
    <w:p w14:paraId="34617D21" w14:textId="77777777" w:rsidR="00953FAE" w:rsidRDefault="00953FAE" w:rsidP="00953FA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line="240" w:lineRule="auto"/>
        <w:ind w:left="450"/>
      </w:pPr>
      <w:r>
        <w:t>Pre-configured solutions and early UE configuration processing</w:t>
      </w:r>
    </w:p>
    <w:p w14:paraId="1B0A3282" w14:textId="77777777" w:rsidR="00953FAE" w:rsidRDefault="00953FAE" w:rsidP="00953FA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line="240" w:lineRule="auto"/>
        <w:ind w:left="450"/>
      </w:pPr>
      <w:r>
        <w:t xml:space="preserve">UE triggered mobility based on some pre-configuration  </w:t>
      </w:r>
    </w:p>
    <w:p w14:paraId="71405EB2" w14:textId="77777777" w:rsidR="00953FAE" w:rsidRDefault="00953FAE" w:rsidP="00953FA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line="240" w:lineRule="auto"/>
        <w:ind w:left="450"/>
      </w:pPr>
      <w:r>
        <w:t xml:space="preserve">CFRA, </w:t>
      </w:r>
      <w:r w:rsidRPr="00A540D9">
        <w:t xml:space="preserve">RACH-less, early UL/DL sync, early CSI.  </w:t>
      </w:r>
    </w:p>
    <w:p w14:paraId="4D7DB8B7" w14:textId="77777777" w:rsidR="00953FAE" w:rsidRDefault="00953FAE" w:rsidP="00953F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50" w:hanging="360"/>
      </w:pPr>
      <w:r w:rsidRPr="00764358">
        <w:rPr>
          <w:highlight w:val="yellow"/>
        </w:rPr>
        <w:t>Schemes should consider the lower interruption, robustness requirements and throughput degradation while considering UE and NW complexity and resource efficiency.</w:t>
      </w:r>
      <w:r>
        <w:t xml:space="preserve">   </w:t>
      </w:r>
    </w:p>
    <w:p w14:paraId="6B242D9A" w14:textId="77777777" w:rsidR="00953FAE" w:rsidRPr="00A540D9" w:rsidRDefault="00953FAE" w:rsidP="00953F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50" w:hanging="360"/>
      </w:pPr>
      <w:r w:rsidRPr="00764358">
        <w:t>As first step, understand shortcomings/problems from 5G and how the schemes/solutions proposed can address the issues/requirements for 6G.   Aim to reduce the number of schemes required for 6G and consider how to unify after some initial discussions on the solutions</w:t>
      </w:r>
    </w:p>
    <w:p w14:paraId="24375270" w14:textId="77777777" w:rsidR="00953FAE" w:rsidRDefault="00953FAE" w:rsidP="00075832"/>
    <w:p w14:paraId="35E500FC" w14:textId="3858D2F0" w:rsidR="00460EED" w:rsidRDefault="001E68FC" w:rsidP="00EC6814">
      <w:pPr>
        <w:jc w:val="both"/>
      </w:pPr>
      <w:r w:rsidRPr="001E68FC">
        <w:t xml:space="preserve">Building on the RAN2#132 agreement, this contribution further explores mobility design directions for 6G with a focus on resource-efficient handover operation. </w:t>
      </w:r>
      <w:proofErr w:type="gramStart"/>
      <w:r w:rsidRPr="001E68FC">
        <w:t>In particular, it</w:t>
      </w:r>
      <w:proofErr w:type="gramEnd"/>
      <w:r w:rsidRPr="001E68FC">
        <w:t xml:space="preserve"> considers an alternative framework where the configuration provided to the UE during handover is functionally split, such that the UE first receives a minimal configuration sufficient to access the target </w:t>
      </w:r>
      <w:proofErr w:type="gramStart"/>
      <w:r w:rsidRPr="001E68FC">
        <w:t>cell, and</w:t>
      </w:r>
      <w:proofErr w:type="gramEnd"/>
      <w:r w:rsidRPr="001E68FC">
        <w:t xml:space="preserve"> receives the remaining UE-dedicated configuration after successful attachment to the target cell.</w:t>
      </w:r>
    </w:p>
    <w:p w14:paraId="7F85BFE0" w14:textId="0B0EC680" w:rsidR="00953FAE" w:rsidRDefault="00EC6814" w:rsidP="00EC6814">
      <w:pPr>
        <w:jc w:val="both"/>
      </w:pPr>
      <w:r w:rsidRPr="00EC6814">
        <w:t>This approach targets deployment scenarios where radio resources are constrained and where strict minimization of interruption time is not the primary objective, for example for eMBB-oriented services.</w:t>
      </w:r>
    </w:p>
    <w:p w14:paraId="0302862A" w14:textId="09671B43" w:rsidR="00C339B0" w:rsidRDefault="00C339B0" w:rsidP="00126887">
      <w:pPr>
        <w:pStyle w:val="Heading1"/>
        <w:rPr>
          <w:lang w:val="en-US"/>
        </w:rPr>
      </w:pPr>
      <w:r w:rsidRPr="00C339B0">
        <w:rPr>
          <w:lang w:val="en-US"/>
        </w:rPr>
        <w:t>Discussion</w:t>
      </w:r>
    </w:p>
    <w:p w14:paraId="14CB6864" w14:textId="530E0DA4" w:rsidR="00D665E7" w:rsidRPr="004F7CF1" w:rsidRDefault="00D665E7" w:rsidP="00EC6814">
      <w:pPr>
        <w:jc w:val="both"/>
      </w:pPr>
      <w:r w:rsidRPr="00D665E7">
        <w:t xml:space="preserve">In NR, advanced mobility mechanisms such as L3 handover, Conditional Handover (CHO), and L1/L2 Triggered Mobility (LTM) rely on the target node providing a UE-dedicated handover configuration </w:t>
      </w:r>
      <w:r w:rsidRPr="00D665E7">
        <w:lastRenderedPageBreak/>
        <w:t xml:space="preserve">as part of the handover execution. </w:t>
      </w:r>
      <w:proofErr w:type="gramStart"/>
      <w:r w:rsidRPr="00D665E7">
        <w:t>In particular, LTM</w:t>
      </w:r>
      <w:proofErr w:type="gramEnd"/>
      <w:r w:rsidRPr="00D665E7">
        <w:t xml:space="preserve"> was introduced in Release-18 to reduce interruption time and increase robustness by preparing one or more candidate target cells in advance and enabling fast execution when mobility is triggered.</w:t>
      </w:r>
    </w:p>
    <w:p w14:paraId="02F46D49" w14:textId="20F7E4B8" w:rsidR="00D665E7" w:rsidRDefault="00D665E7" w:rsidP="00EC6814">
      <w:pPr>
        <w:pStyle w:val="Observation"/>
        <w:numPr>
          <w:ilvl w:val="0"/>
          <w:numId w:val="0"/>
        </w:numPr>
        <w:rPr>
          <w:b w:val="0"/>
        </w:rPr>
      </w:pPr>
      <w:r w:rsidRPr="00D665E7">
        <w:rPr>
          <w:b w:val="0"/>
        </w:rPr>
        <w:t>As part of this design, the handover configuration provided to the UE typically serves two different purposes simultaneously:</w:t>
      </w:r>
    </w:p>
    <w:p w14:paraId="60BD0EFA" w14:textId="7581CB39" w:rsidR="00FF4367" w:rsidRPr="00EC6814" w:rsidRDefault="00FF4367" w:rsidP="00EC6814">
      <w:pPr>
        <w:pStyle w:val="ListParagraph"/>
        <w:numPr>
          <w:ilvl w:val="0"/>
          <w:numId w:val="20"/>
        </w:numPr>
        <w:jc w:val="both"/>
        <w:rPr>
          <w:lang w:val="en-US"/>
        </w:rPr>
      </w:pPr>
      <w:r w:rsidRPr="00EC6814">
        <w:rPr>
          <w:lang w:val="en-US"/>
        </w:rPr>
        <w:t>enabling the UE to access and latch onto the target cell, and</w:t>
      </w:r>
    </w:p>
    <w:p w14:paraId="36ABD84F" w14:textId="4FF47FC2" w:rsidR="00FF4367" w:rsidRDefault="00FF4367" w:rsidP="00EC6814">
      <w:pPr>
        <w:pStyle w:val="ListParagraph"/>
        <w:numPr>
          <w:ilvl w:val="0"/>
          <w:numId w:val="20"/>
        </w:numPr>
        <w:jc w:val="both"/>
        <w:rPr>
          <w:lang w:val="en-US"/>
        </w:rPr>
      </w:pPr>
      <w:r w:rsidRPr="00EC6814">
        <w:rPr>
          <w:lang w:val="en-US"/>
        </w:rPr>
        <w:t>enabling the UE to continue its full radio connectivity and service operation through the target cell after handover.</w:t>
      </w:r>
    </w:p>
    <w:p w14:paraId="60976101" w14:textId="1CCD4BC8" w:rsidR="00617A7D" w:rsidRDefault="00617A7D" w:rsidP="00EC6814">
      <w:pPr>
        <w:jc w:val="both"/>
      </w:pPr>
      <w:r w:rsidRPr="00617A7D">
        <w:t>In current NR procedures, these two purposes are tightly coupled and delivered as a single UE-dedicated configuration, regardless of the service characteristics or deployment constraints.</w:t>
      </w:r>
    </w:p>
    <w:p w14:paraId="3EF31C2F" w14:textId="16BC44BB" w:rsidR="00617A7D" w:rsidRDefault="00EC6814" w:rsidP="00EC6814">
      <w:pPr>
        <w:pStyle w:val="Observation"/>
        <w:ind w:left="0" w:firstLine="0"/>
      </w:pPr>
      <w:r>
        <w:t xml:space="preserve"> </w:t>
      </w:r>
      <w:r w:rsidR="00617A7D" w:rsidRPr="00617A7D">
        <w:t>In NR mobility procedures, handover configuration combines both target cell access parameters and full UE-dedicated connectivity configuration into a single, monolithic configuration.</w:t>
      </w:r>
    </w:p>
    <w:p w14:paraId="681B2324" w14:textId="0B7D966A" w:rsidR="00617A7D" w:rsidRDefault="00617A7D" w:rsidP="00EC6814">
      <w:pPr>
        <w:jc w:val="both"/>
      </w:pPr>
      <w:r w:rsidRPr="00617A7D">
        <w:t xml:space="preserve">This coupling becomes particularly challenging in LTM scenarios. In LTM, multiple candidate target cells may be prepared, each requiring the allocation of UE-dedicated resources (e.g. PUCCH, SRS, CSI reporting, UL grants) well before it is known whether the UE will </w:t>
      </w:r>
      <w:proofErr w:type="gramStart"/>
      <w:r w:rsidRPr="00617A7D">
        <w:t>actually hand</w:t>
      </w:r>
      <w:proofErr w:type="gramEnd"/>
      <w:r w:rsidRPr="00617A7D">
        <w:t xml:space="preserve"> over to that cell. This leads to resource blocking, increased control </w:t>
      </w:r>
      <w:proofErr w:type="spellStart"/>
      <w:r w:rsidRPr="00617A7D">
        <w:t>signaling</w:t>
      </w:r>
      <w:proofErr w:type="spellEnd"/>
      <w:r w:rsidRPr="00617A7D">
        <w:t>, and reduced applicability of LTM in deployments where radio resources are scarce.</w:t>
      </w:r>
    </w:p>
    <w:p w14:paraId="4C229477" w14:textId="2AECE50A" w:rsidR="00617A7D" w:rsidRDefault="00617A7D" w:rsidP="00EC6814">
      <w:pPr>
        <w:pStyle w:val="Observation"/>
        <w:ind w:left="0" w:firstLine="0"/>
      </w:pPr>
      <w:r w:rsidRPr="00617A7D">
        <w:t>In LTM, early provisioning of full UE-dedicated configuration leads to resource wastage and limits practical deployment, especially when multiple candidate target cells are prepared.</w:t>
      </w:r>
    </w:p>
    <w:p w14:paraId="354FDA53" w14:textId="05CACB3F" w:rsidR="00617A7D" w:rsidRDefault="00B37934" w:rsidP="00EC6814">
      <w:pPr>
        <w:jc w:val="both"/>
      </w:pPr>
      <w:r w:rsidRPr="00B37934">
        <w:t>At the same time, not all services have the same sensitivity to interruption time. For example, for eMBB-oriented services, short service interruption may be acceptable if it enables more resource-efficient mobility operation. This suggests that, for 6G, alternative mobility frameworks could be considered that trade strict interruption minimization for improved resource efficiency.</w:t>
      </w:r>
    </w:p>
    <w:p w14:paraId="588474B1" w14:textId="0469D023" w:rsidR="00A811C5" w:rsidRPr="00EC6814" w:rsidRDefault="00B37934" w:rsidP="00EC6814">
      <w:pPr>
        <w:pStyle w:val="Observation"/>
        <w:ind w:left="0" w:firstLine="0"/>
      </w:pPr>
      <w:r w:rsidRPr="00B37934">
        <w:t>A single handover configuration model may not be optimal for all service types, particularly in scenarios where resource efficiency is prioritized over minimal interruption.</w:t>
      </w:r>
    </w:p>
    <w:p w14:paraId="425AD611" w14:textId="77777777" w:rsidR="005E2DC9" w:rsidRDefault="005E2DC9" w:rsidP="00EC6814">
      <w:pPr>
        <w:jc w:val="both"/>
      </w:pPr>
      <w:r w:rsidRPr="00B37934">
        <w:t xml:space="preserve">From a functional perspective, a UE does not require full UE-dedicated configuration </w:t>
      </w:r>
      <w:proofErr w:type="gramStart"/>
      <w:r w:rsidRPr="00B37934">
        <w:t>in order to</w:t>
      </w:r>
      <w:proofErr w:type="gramEnd"/>
      <w:r w:rsidRPr="00B37934">
        <w:t xml:space="preserve"> initially access and synchronize with a target cell. A subset of configuration information is sufficient to allow the UE to establish radio access and a basic control-plane connection with the target cell, after which additional UE-specific configuration can be delivered using the established connection.</w:t>
      </w:r>
    </w:p>
    <w:p w14:paraId="31D3140E" w14:textId="77777777" w:rsidR="005E2DC9" w:rsidRDefault="005E2DC9" w:rsidP="00EC6814">
      <w:pPr>
        <w:jc w:val="both"/>
      </w:pPr>
      <w:r w:rsidRPr="00B37934">
        <w:t>For clarity, this contribution distinguishes between two conceptual configuration stages:</w:t>
      </w:r>
    </w:p>
    <w:p w14:paraId="09B53AAD" w14:textId="2AC38429" w:rsidR="005E2DC9" w:rsidRDefault="005E2DC9" w:rsidP="00841016">
      <w:pPr>
        <w:jc w:val="both"/>
      </w:pPr>
      <w:r w:rsidRPr="27286600">
        <w:rPr>
          <w:b/>
        </w:rPr>
        <w:t>Target Access Configuration:</w:t>
      </w:r>
      <w:r w:rsidRPr="27286600">
        <w:t xml:space="preserve"> Configuration sufficient for the UE to access, synchronize, and establish initial control-plane connectivity with the target cell, without requiring UE-specific resource reservation.</w:t>
      </w:r>
    </w:p>
    <w:p w14:paraId="0898AD4F" w14:textId="77777777" w:rsidR="005E2DC9" w:rsidRDefault="005E2DC9" w:rsidP="00EC6814">
      <w:pPr>
        <w:jc w:val="both"/>
      </w:pPr>
      <w:r w:rsidRPr="00A811C5">
        <w:t>Examples include:</w:t>
      </w:r>
    </w:p>
    <w:p w14:paraId="643D547D" w14:textId="77777777" w:rsidR="005E2DC9" w:rsidRPr="00857F05" w:rsidRDefault="005E2DC9" w:rsidP="00EC6814">
      <w:pPr>
        <w:pStyle w:val="ListParagraph"/>
        <w:numPr>
          <w:ilvl w:val="0"/>
          <w:numId w:val="21"/>
        </w:numPr>
        <w:jc w:val="both"/>
        <w:rPr>
          <w:lang w:val="en-US"/>
        </w:rPr>
      </w:pPr>
      <w:r w:rsidRPr="00857F05">
        <w:rPr>
          <w:lang w:val="en-US"/>
        </w:rPr>
        <w:t>target cell identity and frequency information,</w:t>
      </w:r>
    </w:p>
    <w:p w14:paraId="1FDF205F" w14:textId="77777777" w:rsidR="005E2DC9" w:rsidRPr="00857F05" w:rsidRDefault="005E2DC9" w:rsidP="00EC6814">
      <w:pPr>
        <w:pStyle w:val="ListParagraph"/>
        <w:numPr>
          <w:ilvl w:val="0"/>
          <w:numId w:val="21"/>
        </w:numPr>
        <w:jc w:val="both"/>
        <w:rPr>
          <w:lang w:val="en-US"/>
        </w:rPr>
      </w:pPr>
      <w:r w:rsidRPr="00857F05">
        <w:rPr>
          <w:lang w:val="en-US"/>
        </w:rPr>
        <w:lastRenderedPageBreak/>
        <w:t>SSB and initial DL synchronization information,</w:t>
      </w:r>
    </w:p>
    <w:p w14:paraId="4DE991A3" w14:textId="77777777" w:rsidR="005E2DC9" w:rsidRPr="00857F05" w:rsidRDefault="005E2DC9" w:rsidP="00EC6814">
      <w:pPr>
        <w:pStyle w:val="ListParagraph"/>
        <w:numPr>
          <w:ilvl w:val="0"/>
          <w:numId w:val="21"/>
        </w:numPr>
        <w:jc w:val="both"/>
        <w:rPr>
          <w:lang w:val="en-US"/>
        </w:rPr>
      </w:pPr>
      <w:r w:rsidRPr="00857F05">
        <w:rPr>
          <w:lang w:val="en-US"/>
        </w:rPr>
        <w:t>common BWP and common control configuration (e.g. CORESET#0),</w:t>
      </w:r>
    </w:p>
    <w:p w14:paraId="1484EBBD" w14:textId="77777777" w:rsidR="005E2DC9" w:rsidRPr="00857F05" w:rsidRDefault="005E2DC9" w:rsidP="00EC6814">
      <w:pPr>
        <w:pStyle w:val="ListParagraph"/>
        <w:numPr>
          <w:ilvl w:val="0"/>
          <w:numId w:val="21"/>
        </w:numPr>
        <w:jc w:val="both"/>
        <w:rPr>
          <w:lang w:val="en-US"/>
        </w:rPr>
      </w:pPr>
      <w:r w:rsidRPr="00857F05">
        <w:rPr>
          <w:lang w:val="en-US"/>
        </w:rPr>
        <w:t>random access configuration (e.g. contention-based RA),</w:t>
      </w:r>
    </w:p>
    <w:p w14:paraId="4A547D1D" w14:textId="77777777" w:rsidR="005E2DC9" w:rsidRPr="00857F05" w:rsidRDefault="005E2DC9" w:rsidP="00EC6814">
      <w:pPr>
        <w:pStyle w:val="ListParagraph"/>
        <w:numPr>
          <w:ilvl w:val="0"/>
          <w:numId w:val="21"/>
        </w:numPr>
        <w:jc w:val="both"/>
        <w:rPr>
          <w:lang w:val="en-US"/>
        </w:rPr>
      </w:pPr>
      <w:r w:rsidRPr="00857F05">
        <w:rPr>
          <w:lang w:val="en-US"/>
        </w:rPr>
        <w:t>configuration enabling early TA acquisition, where applicable,</w:t>
      </w:r>
    </w:p>
    <w:p w14:paraId="26509801" w14:textId="77777777" w:rsidR="005E2DC9" w:rsidRDefault="005E2DC9" w:rsidP="00EC6814">
      <w:pPr>
        <w:pStyle w:val="ListParagraph"/>
        <w:numPr>
          <w:ilvl w:val="0"/>
          <w:numId w:val="21"/>
        </w:numPr>
        <w:jc w:val="both"/>
        <w:rPr>
          <w:lang w:val="en-US"/>
        </w:rPr>
      </w:pPr>
      <w:r w:rsidRPr="00857F05">
        <w:rPr>
          <w:lang w:val="en-US"/>
        </w:rPr>
        <w:t>basic PHY/MAC parameters required for initial access.</w:t>
      </w:r>
    </w:p>
    <w:p w14:paraId="7CE4295D" w14:textId="50FEBE1E" w:rsidR="005E2DC9" w:rsidRDefault="005E2DC9" w:rsidP="00EC6814">
      <w:pPr>
        <w:jc w:val="both"/>
      </w:pPr>
      <w:r w:rsidRPr="27286600">
        <w:rPr>
          <w:b/>
        </w:rPr>
        <w:t>Post-Access Dedicated Configuration:</w:t>
      </w:r>
      <w:r w:rsidRPr="27286600">
        <w:t xml:space="preserve"> UE-specific configuration required to optimize and sustain full connectivity and service operation after the UE has successfully latched onto the target cell.</w:t>
      </w:r>
    </w:p>
    <w:p w14:paraId="5813CE2B" w14:textId="77777777" w:rsidR="005E2DC9" w:rsidRDefault="005E2DC9" w:rsidP="00EC6814">
      <w:pPr>
        <w:jc w:val="both"/>
      </w:pPr>
      <w:r w:rsidRPr="006B1A9A">
        <w:t>Examples include:</w:t>
      </w:r>
    </w:p>
    <w:p w14:paraId="0AD92B5B" w14:textId="77777777" w:rsidR="005E2DC9" w:rsidRPr="00857F05" w:rsidRDefault="005E2DC9" w:rsidP="00EC6814">
      <w:pPr>
        <w:pStyle w:val="ListParagraph"/>
        <w:numPr>
          <w:ilvl w:val="0"/>
          <w:numId w:val="22"/>
        </w:numPr>
        <w:jc w:val="both"/>
        <w:rPr>
          <w:lang w:val="en-US"/>
        </w:rPr>
      </w:pPr>
      <w:r w:rsidRPr="00857F05">
        <w:rPr>
          <w:lang w:val="en-US"/>
        </w:rPr>
        <w:t>PUCCH resource sets and formats,</w:t>
      </w:r>
    </w:p>
    <w:p w14:paraId="4860EC78" w14:textId="77777777" w:rsidR="005E2DC9" w:rsidRPr="00857F05" w:rsidRDefault="005E2DC9" w:rsidP="00EC6814">
      <w:pPr>
        <w:pStyle w:val="ListParagraph"/>
        <w:numPr>
          <w:ilvl w:val="0"/>
          <w:numId w:val="22"/>
        </w:numPr>
        <w:jc w:val="both"/>
        <w:rPr>
          <w:lang w:val="en-US"/>
        </w:rPr>
      </w:pPr>
      <w:r w:rsidRPr="00857F05">
        <w:rPr>
          <w:lang w:val="en-US"/>
        </w:rPr>
        <w:t>SRS configuration,</w:t>
      </w:r>
    </w:p>
    <w:p w14:paraId="495C8A17" w14:textId="77777777" w:rsidR="005E2DC9" w:rsidRPr="00857F05" w:rsidRDefault="005E2DC9" w:rsidP="00EC6814">
      <w:pPr>
        <w:pStyle w:val="ListParagraph"/>
        <w:numPr>
          <w:ilvl w:val="0"/>
          <w:numId w:val="22"/>
        </w:numPr>
        <w:jc w:val="both"/>
        <w:rPr>
          <w:lang w:val="en-US"/>
        </w:rPr>
      </w:pPr>
      <w:r w:rsidRPr="00857F05">
        <w:rPr>
          <w:lang w:val="en-US"/>
        </w:rPr>
        <w:t>UE-specific UL power control parameters,</w:t>
      </w:r>
    </w:p>
    <w:p w14:paraId="7E2A6DAB" w14:textId="77777777" w:rsidR="005E2DC9" w:rsidRPr="00857F05" w:rsidRDefault="005E2DC9" w:rsidP="00EC6814">
      <w:pPr>
        <w:pStyle w:val="ListParagraph"/>
        <w:numPr>
          <w:ilvl w:val="0"/>
          <w:numId w:val="22"/>
        </w:numPr>
        <w:jc w:val="both"/>
        <w:rPr>
          <w:lang w:val="en-US"/>
        </w:rPr>
      </w:pPr>
      <w:r w:rsidRPr="00857F05">
        <w:rPr>
          <w:lang w:val="en-US"/>
        </w:rPr>
        <w:t>CSI reporting configuration,</w:t>
      </w:r>
    </w:p>
    <w:p w14:paraId="3CBE26BE" w14:textId="77777777" w:rsidR="005E2DC9" w:rsidRPr="00857F05" w:rsidRDefault="005E2DC9" w:rsidP="00EC6814">
      <w:pPr>
        <w:pStyle w:val="ListParagraph"/>
        <w:numPr>
          <w:ilvl w:val="0"/>
          <w:numId w:val="22"/>
        </w:numPr>
        <w:jc w:val="both"/>
        <w:rPr>
          <w:lang w:val="en-US"/>
        </w:rPr>
      </w:pPr>
      <w:r w:rsidRPr="00857F05">
        <w:rPr>
          <w:lang w:val="en-US"/>
        </w:rPr>
        <w:t>UE-dedicated scheduling constraints and MAC/PHY reconfiguration.</w:t>
      </w:r>
    </w:p>
    <w:p w14:paraId="6A16B1CA" w14:textId="4F1DCDD6" w:rsidR="00C26B59" w:rsidRDefault="005E2DC9" w:rsidP="00EC6814">
      <w:pPr>
        <w:pStyle w:val="Observation"/>
        <w:tabs>
          <w:tab w:val="clear" w:pos="1440"/>
        </w:tabs>
        <w:ind w:left="0" w:firstLine="0"/>
      </w:pPr>
      <w:r w:rsidRPr="005E2DC9">
        <w:t>A subset of handover configuration is sufficient for target cell access, while full UE-dedicated configuration is primarily required after access is established.</w:t>
      </w:r>
    </w:p>
    <w:p w14:paraId="4CA42378" w14:textId="553C9F62" w:rsidR="005E2DC9" w:rsidRDefault="005E2DC9" w:rsidP="00EC6814">
      <w:pPr>
        <w:pStyle w:val="Observation"/>
        <w:numPr>
          <w:ilvl w:val="0"/>
          <w:numId w:val="0"/>
        </w:numPr>
        <w:rPr>
          <w:b w:val="0"/>
        </w:rPr>
      </w:pPr>
      <w:r w:rsidRPr="005E2DC9">
        <w:rPr>
          <w:b w:val="0"/>
        </w:rPr>
        <w:t>Based on this, this contribution considers a 6G mobility framework where handover configuration is functionally split. The UE is first provided with a Target Access Configuration that enables it to access and latch onto the target cell. Once the UE has established a basic control-plane connection with the target cell, the remaining Post-Access Dedicated Configuration is delivered directly by the target cell.</w:t>
      </w:r>
    </w:p>
    <w:p w14:paraId="46F2C9BB" w14:textId="71AF2909" w:rsidR="005E2DC9" w:rsidRDefault="005E2DC9" w:rsidP="00EC6814">
      <w:pPr>
        <w:pStyle w:val="Observation"/>
        <w:numPr>
          <w:ilvl w:val="0"/>
          <w:numId w:val="0"/>
        </w:numPr>
        <w:rPr>
          <w:b w:val="0"/>
        </w:rPr>
      </w:pPr>
      <w:r w:rsidRPr="005E2DC9">
        <w:rPr>
          <w:b w:val="0"/>
        </w:rPr>
        <w:t>This approach decouples mobility execution from early UE-dedicated resource reservation and allows the network to defer resource-intensive configuration until it is certain that the UE has arrived at the target cell.</w:t>
      </w:r>
    </w:p>
    <w:p w14:paraId="14E95AA2" w14:textId="46D00182" w:rsidR="005E2DC9" w:rsidRDefault="005E2DC9" w:rsidP="00EC6814">
      <w:pPr>
        <w:pStyle w:val="Proposal"/>
      </w:pPr>
      <w:r w:rsidRPr="005E2DC9">
        <w:t>RAN2 should study a 6G mobility framework where handover configuration is split into a Target Access Configuration for initial target cell access and a Post-Access Dedicated Configuration delivered after successful access.</w:t>
      </w:r>
    </w:p>
    <w:p w14:paraId="17295579" w14:textId="238FF0F1" w:rsidR="005E2DC9" w:rsidRDefault="005E2DC9" w:rsidP="00EC6814">
      <w:pPr>
        <w:pStyle w:val="Observation"/>
        <w:numPr>
          <w:ilvl w:val="0"/>
          <w:numId w:val="0"/>
        </w:numPr>
        <w:rPr>
          <w:b w:val="0"/>
        </w:rPr>
      </w:pPr>
      <w:r w:rsidRPr="005E2DC9">
        <w:rPr>
          <w:b w:val="0"/>
        </w:rPr>
        <w:t xml:space="preserve">Such a framework is particularly attractive for deployments where radio resources are scarce and for services where strict interruption minimization is not critical (e.g. eMBB). It also provides flexibility to tailor mobility </w:t>
      </w:r>
      <w:proofErr w:type="spellStart"/>
      <w:r w:rsidRPr="005E2DC9">
        <w:rPr>
          <w:b w:val="0"/>
        </w:rPr>
        <w:t>behavior</w:t>
      </w:r>
      <w:proofErr w:type="spellEnd"/>
      <w:r w:rsidRPr="005E2DC9">
        <w:rPr>
          <w:b w:val="0"/>
        </w:rPr>
        <w:t xml:space="preserve"> based on service requirements and deployment constraints, rather than enforcing a single monolithic handover configuration model.</w:t>
      </w:r>
    </w:p>
    <w:p w14:paraId="303B9363" w14:textId="33DC5CBC" w:rsidR="005E2DC9" w:rsidRDefault="000F1603" w:rsidP="00EC6814">
      <w:pPr>
        <w:pStyle w:val="Observation"/>
        <w:numPr>
          <w:ilvl w:val="0"/>
          <w:numId w:val="0"/>
        </w:numPr>
        <w:rPr>
          <w:b w:val="0"/>
        </w:rPr>
      </w:pPr>
      <w:r w:rsidRPr="000F1603">
        <w:rPr>
          <w:b w:val="0"/>
        </w:rPr>
        <w:t>To enable this, further study is needed to clearly identify which configuration elements belong to the Target Access Configuration and which should be deferred to the Post-Access Dedicated Configuration, as well as to understand the implications for control-plane continuity, security handling, and bearer re-establishment.</w:t>
      </w:r>
    </w:p>
    <w:p w14:paraId="284F1314" w14:textId="0C874192" w:rsidR="003F283A" w:rsidRPr="00EC6814" w:rsidRDefault="000F1603" w:rsidP="00EC6814">
      <w:pPr>
        <w:pStyle w:val="Proposal"/>
      </w:pPr>
      <w:r w:rsidRPr="000F1603">
        <w:t>RAN2 should study the composition and delivery mechanisms of Target Access Configuration and Post-Access Dedicated Configuration for 6G mobility, including their impact on resource efficiency, service continuity, and implementation complexity.</w:t>
      </w:r>
    </w:p>
    <w:p w14:paraId="779B5D18" w14:textId="04BED7C2" w:rsidR="00C339B0" w:rsidRDefault="00C339B0" w:rsidP="00C339B0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7CC1DD18" w14:textId="6DD0ADD2" w:rsidR="00084D5D" w:rsidRDefault="000E7CAA" w:rsidP="00084D5D">
      <w:r w:rsidRPr="000E7CAA">
        <w:t>Based on the discussion above, the current mobility framework can lead to unnecessary early reservation of UE-dedicated resources at the target cell. Introducing a functionally split handover configuration, where only access-essential configuration is provided initially and remaining UE-dedicated configuration is deferred, may offer a more resource-efficient mobility framework for 6G deployments.</w:t>
      </w:r>
    </w:p>
    <w:p w14:paraId="40C509DB" w14:textId="220B9B89" w:rsidR="000D4698" w:rsidRPr="0075437A" w:rsidRDefault="000D4698" w:rsidP="0075437A">
      <w:pPr>
        <w:jc w:val="both"/>
        <w:rPr>
          <w:b/>
          <w:bCs/>
        </w:rPr>
      </w:pPr>
      <w:r w:rsidRPr="0075437A">
        <w:rPr>
          <w:b/>
          <w:bCs/>
        </w:rPr>
        <w:t>Observation 1:</w:t>
      </w:r>
      <w:r w:rsidRPr="0075437A">
        <w:rPr>
          <w:b/>
          <w:bCs/>
        </w:rPr>
        <w:tab/>
        <w:t xml:space="preserve"> In NR mobility procedures, handover configuration combines both target cell access parameters and full UE-dedicated connectivity configuration into a single, monolithic configuration.</w:t>
      </w:r>
    </w:p>
    <w:p w14:paraId="5412EF57" w14:textId="20DEEB5E" w:rsidR="00665F13" w:rsidRPr="0075437A" w:rsidRDefault="00665F13" w:rsidP="0075437A">
      <w:pPr>
        <w:jc w:val="both"/>
        <w:rPr>
          <w:b/>
          <w:bCs/>
        </w:rPr>
      </w:pPr>
      <w:r w:rsidRPr="0075437A">
        <w:rPr>
          <w:b/>
          <w:bCs/>
        </w:rPr>
        <w:t>Observation 2:</w:t>
      </w:r>
      <w:r w:rsidRPr="0075437A">
        <w:rPr>
          <w:b/>
          <w:bCs/>
        </w:rPr>
        <w:tab/>
        <w:t>In LTM, early provisioning of full UE-dedicated configuration leads to resource wastage and limits practical deployment, especially when multiple candidate target cells are prepared.</w:t>
      </w:r>
    </w:p>
    <w:p w14:paraId="0D0C8DE8" w14:textId="2E969EA0" w:rsidR="00665F13" w:rsidRPr="0075437A" w:rsidRDefault="00665F13" w:rsidP="0075437A">
      <w:pPr>
        <w:jc w:val="both"/>
        <w:rPr>
          <w:b/>
          <w:bCs/>
        </w:rPr>
      </w:pPr>
      <w:r w:rsidRPr="0075437A">
        <w:rPr>
          <w:b/>
          <w:bCs/>
        </w:rPr>
        <w:t>Observation 3:</w:t>
      </w:r>
      <w:r w:rsidRPr="0075437A">
        <w:rPr>
          <w:b/>
          <w:bCs/>
        </w:rPr>
        <w:tab/>
        <w:t>A single handover configuration model may not be optimal for all service types, particularly in scenarios where resource efficiency is prioritized over minimal interruption.</w:t>
      </w:r>
    </w:p>
    <w:p w14:paraId="4465D133" w14:textId="42C1AE4B" w:rsidR="00665F13" w:rsidRPr="0075437A" w:rsidRDefault="00665F13" w:rsidP="0075437A">
      <w:pPr>
        <w:jc w:val="both"/>
        <w:rPr>
          <w:b/>
          <w:bCs/>
        </w:rPr>
      </w:pPr>
      <w:r w:rsidRPr="0075437A">
        <w:rPr>
          <w:b/>
          <w:bCs/>
        </w:rPr>
        <w:t>Observation 4:</w:t>
      </w:r>
      <w:r w:rsidRPr="0075437A">
        <w:rPr>
          <w:b/>
          <w:bCs/>
        </w:rPr>
        <w:tab/>
        <w:t>A subset of handover configuration is sufficient for target cell access, while full UE-dedicated configuration is primarily required after access is established.</w:t>
      </w:r>
    </w:p>
    <w:p w14:paraId="6F733FE4" w14:textId="605F32B8" w:rsidR="00665F13" w:rsidRPr="0075437A" w:rsidRDefault="00665F13" w:rsidP="0075437A">
      <w:pPr>
        <w:jc w:val="both"/>
        <w:rPr>
          <w:b/>
          <w:bCs/>
        </w:rPr>
      </w:pPr>
      <w:r w:rsidRPr="0075437A">
        <w:rPr>
          <w:b/>
          <w:bCs/>
        </w:rPr>
        <w:t>Proposal 1:</w:t>
      </w:r>
      <w:r w:rsidRPr="0075437A">
        <w:rPr>
          <w:b/>
          <w:bCs/>
        </w:rPr>
        <w:tab/>
        <w:t>RAN2 should study a 6G mobility framework where handover configuration is split into a Target Access Configuration for initial target cell access and a Post-Access Dedicated Configuration delivered after successful access.</w:t>
      </w:r>
    </w:p>
    <w:p w14:paraId="734FF96A" w14:textId="16AD849A" w:rsidR="00892FD0" w:rsidRPr="00B001CD" w:rsidRDefault="00665F13" w:rsidP="00CA4FCC">
      <w:pPr>
        <w:jc w:val="both"/>
      </w:pPr>
      <w:r w:rsidRPr="0075437A">
        <w:rPr>
          <w:b/>
          <w:bCs/>
        </w:rPr>
        <w:t>Proposal 2:</w:t>
      </w:r>
      <w:r w:rsidRPr="0075437A">
        <w:rPr>
          <w:b/>
          <w:bCs/>
        </w:rPr>
        <w:tab/>
        <w:t>RAN2 should study the composition and delivery mechanisms of Target Access Configuration and Post-Access Dedicated Configuration for 6G mobility, including their impact on resource efficiency, service continuity, and implementation complexity.</w:t>
      </w:r>
      <w:bookmarkEnd w:id="2"/>
    </w:p>
    <w:sectPr w:rsidR="00892FD0" w:rsidRPr="00B001CD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E15F9" w14:textId="77777777" w:rsidR="00AC7AFF" w:rsidRDefault="00AC7AFF">
      <w:r>
        <w:separator/>
      </w:r>
    </w:p>
  </w:endnote>
  <w:endnote w:type="continuationSeparator" w:id="0">
    <w:p w14:paraId="2E24F228" w14:textId="77777777" w:rsidR="00AC7AFF" w:rsidRDefault="00AC7AFF">
      <w:r>
        <w:continuationSeparator/>
      </w:r>
    </w:p>
  </w:endnote>
  <w:endnote w:type="continuationNotice" w:id="1">
    <w:p w14:paraId="4B8D353F" w14:textId="77777777" w:rsidR="00AC7AFF" w:rsidRDefault="00AC7A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5547C" w14:textId="77777777" w:rsidR="00AC7AFF" w:rsidRDefault="00AC7AFF">
      <w:r>
        <w:separator/>
      </w:r>
    </w:p>
  </w:footnote>
  <w:footnote w:type="continuationSeparator" w:id="0">
    <w:p w14:paraId="6908DD37" w14:textId="77777777" w:rsidR="00AC7AFF" w:rsidRDefault="00AC7AFF">
      <w:r>
        <w:continuationSeparator/>
      </w:r>
    </w:p>
  </w:footnote>
  <w:footnote w:type="continuationNotice" w:id="1">
    <w:p w14:paraId="7F06E8C7" w14:textId="77777777" w:rsidR="00AC7AFF" w:rsidRDefault="00AC7A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F33"/>
    <w:multiLevelType w:val="hybridMultilevel"/>
    <w:tmpl w:val="59A6BD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63C040BC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B42122B"/>
    <w:multiLevelType w:val="hybridMultilevel"/>
    <w:tmpl w:val="39168CC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6" w15:restartNumberingAfterBreak="0">
    <w:nsid w:val="30501E44"/>
    <w:multiLevelType w:val="hybridMultilevel"/>
    <w:tmpl w:val="9AE8563C"/>
    <w:lvl w:ilvl="0" w:tplc="C2E0834A">
      <w:start w:val="1"/>
      <w:numFmt w:val="decimal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7" w15:restartNumberingAfterBreak="0">
    <w:nsid w:val="30B260C5"/>
    <w:multiLevelType w:val="hybridMultilevel"/>
    <w:tmpl w:val="2EFE26A4"/>
    <w:lvl w:ilvl="0" w:tplc="E6201CC4">
      <w:start w:val="1"/>
      <w:numFmt w:val="decimal"/>
      <w:pStyle w:val="Observation"/>
      <w:lvlText w:val="Observation %1: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9" w15:restartNumberingAfterBreak="0">
    <w:nsid w:val="34EB68BB"/>
    <w:multiLevelType w:val="hybridMultilevel"/>
    <w:tmpl w:val="596AD4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BDF4EA9E"/>
    <w:lvl w:ilvl="0" w:tplc="71E2513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3F3E5EA0"/>
    <w:multiLevelType w:val="multilevel"/>
    <w:tmpl w:val="F51A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6F7011"/>
    <w:multiLevelType w:val="hybridMultilevel"/>
    <w:tmpl w:val="875657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C2727"/>
    <w:multiLevelType w:val="multilevel"/>
    <w:tmpl w:val="73FC0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6061BB"/>
    <w:multiLevelType w:val="hybridMultilevel"/>
    <w:tmpl w:val="03008D5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41846"/>
    <w:multiLevelType w:val="multilevel"/>
    <w:tmpl w:val="D942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930111871">
    <w:abstractNumId w:val="5"/>
  </w:num>
  <w:num w:numId="2" w16cid:durableId="866797282">
    <w:abstractNumId w:val="10"/>
  </w:num>
  <w:num w:numId="3" w16cid:durableId="529072913">
    <w:abstractNumId w:val="1"/>
  </w:num>
  <w:num w:numId="4" w16cid:durableId="53823386">
    <w:abstractNumId w:val="8"/>
  </w:num>
  <w:num w:numId="5" w16cid:durableId="68309348">
    <w:abstractNumId w:val="4"/>
  </w:num>
  <w:num w:numId="6" w16cid:durableId="1447584440">
    <w:abstractNumId w:val="2"/>
  </w:num>
  <w:num w:numId="7" w16cid:durableId="2131316683">
    <w:abstractNumId w:val="11"/>
  </w:num>
  <w:num w:numId="8" w16cid:durableId="514854400">
    <w:abstractNumId w:val="6"/>
  </w:num>
  <w:num w:numId="9" w16cid:durableId="308898513">
    <w:abstractNumId w:val="15"/>
  </w:num>
  <w:num w:numId="10" w16cid:durableId="155153417">
    <w:abstractNumId w:val="6"/>
  </w:num>
  <w:num w:numId="11" w16cid:durableId="124541572">
    <w:abstractNumId w:val="11"/>
  </w:num>
  <w:num w:numId="12" w16cid:durableId="863321139">
    <w:abstractNumId w:val="6"/>
  </w:num>
  <w:num w:numId="13" w16cid:durableId="2118794443">
    <w:abstractNumId w:val="7"/>
  </w:num>
  <w:num w:numId="14" w16cid:durableId="2140802607">
    <w:abstractNumId w:val="16"/>
  </w:num>
  <w:num w:numId="15" w16cid:durableId="2099518081">
    <w:abstractNumId w:val="7"/>
  </w:num>
  <w:num w:numId="16" w16cid:durableId="1786997931">
    <w:abstractNumId w:val="18"/>
  </w:num>
  <w:num w:numId="17" w16cid:durableId="1310787998">
    <w:abstractNumId w:val="14"/>
  </w:num>
  <w:num w:numId="18" w16cid:durableId="1279263780">
    <w:abstractNumId w:val="12"/>
  </w:num>
  <w:num w:numId="19" w16cid:durableId="685864347">
    <w:abstractNumId w:val="3"/>
  </w:num>
  <w:num w:numId="20" w16cid:durableId="759571499">
    <w:abstractNumId w:val="9"/>
  </w:num>
  <w:num w:numId="21" w16cid:durableId="2073384690">
    <w:abstractNumId w:val="13"/>
  </w:num>
  <w:num w:numId="22" w16cid:durableId="663892914">
    <w:abstractNumId w:val="0"/>
  </w:num>
  <w:num w:numId="23" w16cid:durableId="614947904">
    <w:abstractNumId w:val="17"/>
  </w:num>
  <w:num w:numId="24" w16cid:durableId="430973638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it-IT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D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712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DE9"/>
    <w:rsid w:val="000212A5"/>
    <w:rsid w:val="00022B8C"/>
    <w:rsid w:val="00023742"/>
    <w:rsid w:val="00024AEF"/>
    <w:rsid w:val="00025633"/>
    <w:rsid w:val="00026293"/>
    <w:rsid w:val="000262EC"/>
    <w:rsid w:val="00026C65"/>
    <w:rsid w:val="00027755"/>
    <w:rsid w:val="000277D6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410B"/>
    <w:rsid w:val="000442C7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997"/>
    <w:rsid w:val="00056BDE"/>
    <w:rsid w:val="00057F20"/>
    <w:rsid w:val="000606B5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6A7"/>
    <w:rsid w:val="00073858"/>
    <w:rsid w:val="0007534F"/>
    <w:rsid w:val="00075832"/>
    <w:rsid w:val="00075965"/>
    <w:rsid w:val="00075FDA"/>
    <w:rsid w:val="00076386"/>
    <w:rsid w:val="00076D82"/>
    <w:rsid w:val="00077154"/>
    <w:rsid w:val="0008027C"/>
    <w:rsid w:val="00081EC2"/>
    <w:rsid w:val="00082154"/>
    <w:rsid w:val="00083602"/>
    <w:rsid w:val="00083800"/>
    <w:rsid w:val="00084504"/>
    <w:rsid w:val="00084A65"/>
    <w:rsid w:val="00084D5D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270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250"/>
    <w:rsid w:val="000C1D59"/>
    <w:rsid w:val="000C2B09"/>
    <w:rsid w:val="000C30CF"/>
    <w:rsid w:val="000C4165"/>
    <w:rsid w:val="000C4D0C"/>
    <w:rsid w:val="000C501D"/>
    <w:rsid w:val="000C5348"/>
    <w:rsid w:val="000C56E4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39A"/>
    <w:rsid w:val="000D1440"/>
    <w:rsid w:val="000D27AD"/>
    <w:rsid w:val="000D29D1"/>
    <w:rsid w:val="000D2B0A"/>
    <w:rsid w:val="000D2B3A"/>
    <w:rsid w:val="000D3286"/>
    <w:rsid w:val="000D344D"/>
    <w:rsid w:val="000D3A9F"/>
    <w:rsid w:val="000D40E7"/>
    <w:rsid w:val="000D4698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E7CAA"/>
    <w:rsid w:val="000F03DD"/>
    <w:rsid w:val="000F15B2"/>
    <w:rsid w:val="000F1603"/>
    <w:rsid w:val="000F19DE"/>
    <w:rsid w:val="000F2222"/>
    <w:rsid w:val="000F2649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053D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07E45"/>
    <w:rsid w:val="001103BD"/>
    <w:rsid w:val="00111208"/>
    <w:rsid w:val="001115E4"/>
    <w:rsid w:val="00111808"/>
    <w:rsid w:val="00112155"/>
    <w:rsid w:val="00112220"/>
    <w:rsid w:val="00112CE4"/>
    <w:rsid w:val="00112EBF"/>
    <w:rsid w:val="0011339F"/>
    <w:rsid w:val="0011353B"/>
    <w:rsid w:val="00113B8F"/>
    <w:rsid w:val="00113EC8"/>
    <w:rsid w:val="00114E96"/>
    <w:rsid w:val="001150D5"/>
    <w:rsid w:val="00115278"/>
    <w:rsid w:val="001152C7"/>
    <w:rsid w:val="00115C88"/>
    <w:rsid w:val="00115E18"/>
    <w:rsid w:val="00115E2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887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6D9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230C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21A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5C67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7DE"/>
    <w:rsid w:val="001B38EE"/>
    <w:rsid w:val="001B41ED"/>
    <w:rsid w:val="001B4607"/>
    <w:rsid w:val="001B7E0C"/>
    <w:rsid w:val="001C05E0"/>
    <w:rsid w:val="001C0674"/>
    <w:rsid w:val="001C0945"/>
    <w:rsid w:val="001C1405"/>
    <w:rsid w:val="001C1B93"/>
    <w:rsid w:val="001C226F"/>
    <w:rsid w:val="001C449C"/>
    <w:rsid w:val="001C5296"/>
    <w:rsid w:val="001C66AC"/>
    <w:rsid w:val="001C6754"/>
    <w:rsid w:val="001C7281"/>
    <w:rsid w:val="001C77F0"/>
    <w:rsid w:val="001D30C9"/>
    <w:rsid w:val="001D39A9"/>
    <w:rsid w:val="001D3E33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8FC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08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17CD9"/>
    <w:rsid w:val="00217F70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EE8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4E7C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629A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873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3B5"/>
    <w:rsid w:val="002A2413"/>
    <w:rsid w:val="002A2F5E"/>
    <w:rsid w:val="002A31DA"/>
    <w:rsid w:val="002A352A"/>
    <w:rsid w:val="002A426C"/>
    <w:rsid w:val="002A5655"/>
    <w:rsid w:val="002A5830"/>
    <w:rsid w:val="002A5E4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11"/>
    <w:rsid w:val="002C47AD"/>
    <w:rsid w:val="002C5510"/>
    <w:rsid w:val="002C55B4"/>
    <w:rsid w:val="002C6034"/>
    <w:rsid w:val="002C635B"/>
    <w:rsid w:val="002C6D95"/>
    <w:rsid w:val="002C7276"/>
    <w:rsid w:val="002C73EA"/>
    <w:rsid w:val="002C74A0"/>
    <w:rsid w:val="002C770F"/>
    <w:rsid w:val="002C77F7"/>
    <w:rsid w:val="002C7CFF"/>
    <w:rsid w:val="002D0BC6"/>
    <w:rsid w:val="002D12DB"/>
    <w:rsid w:val="002D17C5"/>
    <w:rsid w:val="002D2010"/>
    <w:rsid w:val="002D365F"/>
    <w:rsid w:val="002D51DF"/>
    <w:rsid w:val="002D583F"/>
    <w:rsid w:val="002D5ADE"/>
    <w:rsid w:val="002D671C"/>
    <w:rsid w:val="002D6892"/>
    <w:rsid w:val="002D68C2"/>
    <w:rsid w:val="002D7C86"/>
    <w:rsid w:val="002E0692"/>
    <w:rsid w:val="002E0E0E"/>
    <w:rsid w:val="002E152D"/>
    <w:rsid w:val="002E1D74"/>
    <w:rsid w:val="002E2586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0F60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32F"/>
    <w:rsid w:val="00307FE0"/>
    <w:rsid w:val="003107EB"/>
    <w:rsid w:val="00310E66"/>
    <w:rsid w:val="00311164"/>
    <w:rsid w:val="003119CF"/>
    <w:rsid w:val="00311C08"/>
    <w:rsid w:val="003125E0"/>
    <w:rsid w:val="00312ECE"/>
    <w:rsid w:val="0031393C"/>
    <w:rsid w:val="00313B8E"/>
    <w:rsid w:val="00313CB0"/>
    <w:rsid w:val="00313F96"/>
    <w:rsid w:val="003140BF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3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37AC8"/>
    <w:rsid w:val="00340361"/>
    <w:rsid w:val="00340795"/>
    <w:rsid w:val="0034111C"/>
    <w:rsid w:val="00341947"/>
    <w:rsid w:val="00341E60"/>
    <w:rsid w:val="00341F6A"/>
    <w:rsid w:val="0034217F"/>
    <w:rsid w:val="00342AD2"/>
    <w:rsid w:val="00342B16"/>
    <w:rsid w:val="00343103"/>
    <w:rsid w:val="00343954"/>
    <w:rsid w:val="00344BCA"/>
    <w:rsid w:val="00345405"/>
    <w:rsid w:val="00345894"/>
    <w:rsid w:val="00345DDD"/>
    <w:rsid w:val="00346925"/>
    <w:rsid w:val="00346BE4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6E3F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4E8E"/>
    <w:rsid w:val="003950A7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656"/>
    <w:rsid w:val="003B2E9B"/>
    <w:rsid w:val="003B2F8D"/>
    <w:rsid w:val="003B3C64"/>
    <w:rsid w:val="003B45AF"/>
    <w:rsid w:val="003B4FAA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93B"/>
    <w:rsid w:val="003C0DA2"/>
    <w:rsid w:val="003C0DED"/>
    <w:rsid w:val="003C1A18"/>
    <w:rsid w:val="003C2FE6"/>
    <w:rsid w:val="003C3244"/>
    <w:rsid w:val="003C5A28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D7CBF"/>
    <w:rsid w:val="003E0042"/>
    <w:rsid w:val="003E0392"/>
    <w:rsid w:val="003E0667"/>
    <w:rsid w:val="003E0BCE"/>
    <w:rsid w:val="003E0DF3"/>
    <w:rsid w:val="003E13E0"/>
    <w:rsid w:val="003E1660"/>
    <w:rsid w:val="003E16DD"/>
    <w:rsid w:val="003E1CD1"/>
    <w:rsid w:val="003E2A2D"/>
    <w:rsid w:val="003E32D2"/>
    <w:rsid w:val="003E47D4"/>
    <w:rsid w:val="003E50B9"/>
    <w:rsid w:val="003E5C51"/>
    <w:rsid w:val="003E64A9"/>
    <w:rsid w:val="003E7905"/>
    <w:rsid w:val="003F0336"/>
    <w:rsid w:val="003F2525"/>
    <w:rsid w:val="003F283A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4A3"/>
    <w:rsid w:val="00416D44"/>
    <w:rsid w:val="004176FF"/>
    <w:rsid w:val="00417A1E"/>
    <w:rsid w:val="00421A27"/>
    <w:rsid w:val="00421D0A"/>
    <w:rsid w:val="0042222B"/>
    <w:rsid w:val="00422383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4B1"/>
    <w:rsid w:val="004304EC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20C"/>
    <w:rsid w:val="00440FED"/>
    <w:rsid w:val="00441B92"/>
    <w:rsid w:val="00443A9F"/>
    <w:rsid w:val="0044474B"/>
    <w:rsid w:val="00445E07"/>
    <w:rsid w:val="00445FF7"/>
    <w:rsid w:val="00446ECB"/>
    <w:rsid w:val="00447C87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0EED"/>
    <w:rsid w:val="00461210"/>
    <w:rsid w:val="00461700"/>
    <w:rsid w:val="00461AAC"/>
    <w:rsid w:val="00461B0B"/>
    <w:rsid w:val="00461FE8"/>
    <w:rsid w:val="00462490"/>
    <w:rsid w:val="00462AC9"/>
    <w:rsid w:val="00462DB8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3A3"/>
    <w:rsid w:val="00472A06"/>
    <w:rsid w:val="00473777"/>
    <w:rsid w:val="00473A14"/>
    <w:rsid w:val="004740A3"/>
    <w:rsid w:val="00474183"/>
    <w:rsid w:val="004745A9"/>
    <w:rsid w:val="00474871"/>
    <w:rsid w:val="00474CA8"/>
    <w:rsid w:val="00474E43"/>
    <w:rsid w:val="00475F88"/>
    <w:rsid w:val="004766BB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4FA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471C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125C"/>
    <w:rsid w:val="004B23AD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BBB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1F9F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4F7CF1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17EE3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046A"/>
    <w:rsid w:val="0053107E"/>
    <w:rsid w:val="005312CB"/>
    <w:rsid w:val="0053162F"/>
    <w:rsid w:val="00531777"/>
    <w:rsid w:val="00532674"/>
    <w:rsid w:val="0053281C"/>
    <w:rsid w:val="00532AD0"/>
    <w:rsid w:val="0053311D"/>
    <w:rsid w:val="0053348E"/>
    <w:rsid w:val="00533B93"/>
    <w:rsid w:val="005340C9"/>
    <w:rsid w:val="0053458C"/>
    <w:rsid w:val="00536698"/>
    <w:rsid w:val="0053713C"/>
    <w:rsid w:val="005375FE"/>
    <w:rsid w:val="00537639"/>
    <w:rsid w:val="00540AA4"/>
    <w:rsid w:val="00540BFC"/>
    <w:rsid w:val="0054195A"/>
    <w:rsid w:val="005420DE"/>
    <w:rsid w:val="00542249"/>
    <w:rsid w:val="005424F9"/>
    <w:rsid w:val="00542FAA"/>
    <w:rsid w:val="005431F5"/>
    <w:rsid w:val="005435C0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4F27"/>
    <w:rsid w:val="0055519C"/>
    <w:rsid w:val="005554C1"/>
    <w:rsid w:val="00555F67"/>
    <w:rsid w:val="00556BCE"/>
    <w:rsid w:val="00556E32"/>
    <w:rsid w:val="00557109"/>
    <w:rsid w:val="00557150"/>
    <w:rsid w:val="005572B8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13A"/>
    <w:rsid w:val="00570D9F"/>
    <w:rsid w:val="0057185C"/>
    <w:rsid w:val="00571CA8"/>
    <w:rsid w:val="00572947"/>
    <w:rsid w:val="00573138"/>
    <w:rsid w:val="005734A7"/>
    <w:rsid w:val="005746C4"/>
    <w:rsid w:val="00574985"/>
    <w:rsid w:val="00574B50"/>
    <w:rsid w:val="005766E3"/>
    <w:rsid w:val="005771B1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191"/>
    <w:rsid w:val="00585484"/>
    <w:rsid w:val="00585ABB"/>
    <w:rsid w:val="00586E2E"/>
    <w:rsid w:val="00587229"/>
    <w:rsid w:val="005872F0"/>
    <w:rsid w:val="00587503"/>
    <w:rsid w:val="00587C24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2C2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D3E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30A"/>
    <w:rsid w:val="005C3DC6"/>
    <w:rsid w:val="005C4BFB"/>
    <w:rsid w:val="005C5152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3F65"/>
    <w:rsid w:val="005D4045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2DC9"/>
    <w:rsid w:val="005E3073"/>
    <w:rsid w:val="005E316A"/>
    <w:rsid w:val="005E3C93"/>
    <w:rsid w:val="005E3CF6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730"/>
    <w:rsid w:val="005F674B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1A57"/>
    <w:rsid w:val="006120A0"/>
    <w:rsid w:val="0061334A"/>
    <w:rsid w:val="00613EA5"/>
    <w:rsid w:val="00613F2B"/>
    <w:rsid w:val="00614CD1"/>
    <w:rsid w:val="006151F2"/>
    <w:rsid w:val="0061567B"/>
    <w:rsid w:val="00615AC8"/>
    <w:rsid w:val="00617A7D"/>
    <w:rsid w:val="0062152A"/>
    <w:rsid w:val="00621753"/>
    <w:rsid w:val="006229AC"/>
    <w:rsid w:val="00623583"/>
    <w:rsid w:val="00623CDF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16B8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416"/>
    <w:rsid w:val="006508B9"/>
    <w:rsid w:val="00650CA1"/>
    <w:rsid w:val="0065143C"/>
    <w:rsid w:val="00651854"/>
    <w:rsid w:val="00652578"/>
    <w:rsid w:val="006539E8"/>
    <w:rsid w:val="00655AD5"/>
    <w:rsid w:val="006562D2"/>
    <w:rsid w:val="00656307"/>
    <w:rsid w:val="006565D8"/>
    <w:rsid w:val="0065674F"/>
    <w:rsid w:val="00656A6D"/>
    <w:rsid w:val="00656A8D"/>
    <w:rsid w:val="00656B96"/>
    <w:rsid w:val="00656F79"/>
    <w:rsid w:val="0065736B"/>
    <w:rsid w:val="006578E4"/>
    <w:rsid w:val="00657AE5"/>
    <w:rsid w:val="00660B93"/>
    <w:rsid w:val="006619B0"/>
    <w:rsid w:val="00662012"/>
    <w:rsid w:val="00662520"/>
    <w:rsid w:val="00662543"/>
    <w:rsid w:val="006626D0"/>
    <w:rsid w:val="006628E9"/>
    <w:rsid w:val="0066388C"/>
    <w:rsid w:val="00663CBA"/>
    <w:rsid w:val="006641F4"/>
    <w:rsid w:val="00664E8C"/>
    <w:rsid w:val="00665F13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1AA8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DBE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4FDC"/>
    <w:rsid w:val="0069537E"/>
    <w:rsid w:val="00695BB5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7FE"/>
    <w:rsid w:val="006A4856"/>
    <w:rsid w:val="006A5474"/>
    <w:rsid w:val="006A564B"/>
    <w:rsid w:val="006A5BE2"/>
    <w:rsid w:val="006A60AC"/>
    <w:rsid w:val="006A63F6"/>
    <w:rsid w:val="006A6859"/>
    <w:rsid w:val="006B0503"/>
    <w:rsid w:val="006B05B5"/>
    <w:rsid w:val="006B1545"/>
    <w:rsid w:val="006B1A9A"/>
    <w:rsid w:val="006B23B9"/>
    <w:rsid w:val="006B2DA7"/>
    <w:rsid w:val="006B2F4D"/>
    <w:rsid w:val="006B302D"/>
    <w:rsid w:val="006B306B"/>
    <w:rsid w:val="006B318B"/>
    <w:rsid w:val="006B3682"/>
    <w:rsid w:val="006B3974"/>
    <w:rsid w:val="006B4482"/>
    <w:rsid w:val="006B48CB"/>
    <w:rsid w:val="006B5290"/>
    <w:rsid w:val="006B55FE"/>
    <w:rsid w:val="006B564D"/>
    <w:rsid w:val="006B582C"/>
    <w:rsid w:val="006B7C13"/>
    <w:rsid w:val="006C10D4"/>
    <w:rsid w:val="006C1445"/>
    <w:rsid w:val="006C2A44"/>
    <w:rsid w:val="006C3AB0"/>
    <w:rsid w:val="006C4FC1"/>
    <w:rsid w:val="006C51A5"/>
    <w:rsid w:val="006C529D"/>
    <w:rsid w:val="006C6798"/>
    <w:rsid w:val="006C6BA7"/>
    <w:rsid w:val="006C6DF7"/>
    <w:rsid w:val="006C6EA7"/>
    <w:rsid w:val="006D0097"/>
    <w:rsid w:val="006D0826"/>
    <w:rsid w:val="006D0C12"/>
    <w:rsid w:val="006D0E6B"/>
    <w:rsid w:val="006D2146"/>
    <w:rsid w:val="006D3E04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239B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4921"/>
    <w:rsid w:val="006F5022"/>
    <w:rsid w:val="006F5E64"/>
    <w:rsid w:val="006F60DE"/>
    <w:rsid w:val="006F63D7"/>
    <w:rsid w:val="006F65FB"/>
    <w:rsid w:val="006F72D2"/>
    <w:rsid w:val="006F7914"/>
    <w:rsid w:val="006F7C0B"/>
    <w:rsid w:val="006F7E46"/>
    <w:rsid w:val="00700AB4"/>
    <w:rsid w:val="00700FCA"/>
    <w:rsid w:val="007015C6"/>
    <w:rsid w:val="00701645"/>
    <w:rsid w:val="0070194C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03E"/>
    <w:rsid w:val="007136D0"/>
    <w:rsid w:val="00714B81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4FC"/>
    <w:rsid w:val="007278DF"/>
    <w:rsid w:val="00730603"/>
    <w:rsid w:val="0073124A"/>
    <w:rsid w:val="00731B79"/>
    <w:rsid w:val="007320A2"/>
    <w:rsid w:val="0073232E"/>
    <w:rsid w:val="007327CE"/>
    <w:rsid w:val="00733679"/>
    <w:rsid w:val="00733893"/>
    <w:rsid w:val="00733ADF"/>
    <w:rsid w:val="00734A05"/>
    <w:rsid w:val="00734ECC"/>
    <w:rsid w:val="00735487"/>
    <w:rsid w:val="00735C6F"/>
    <w:rsid w:val="007362F3"/>
    <w:rsid w:val="00737A31"/>
    <w:rsid w:val="00740545"/>
    <w:rsid w:val="00742A6A"/>
    <w:rsid w:val="00742B44"/>
    <w:rsid w:val="00743008"/>
    <w:rsid w:val="0074656E"/>
    <w:rsid w:val="00746A98"/>
    <w:rsid w:val="00746F72"/>
    <w:rsid w:val="0074721E"/>
    <w:rsid w:val="007472D5"/>
    <w:rsid w:val="00750AA9"/>
    <w:rsid w:val="00752066"/>
    <w:rsid w:val="00752701"/>
    <w:rsid w:val="00752B03"/>
    <w:rsid w:val="0075317C"/>
    <w:rsid w:val="00753454"/>
    <w:rsid w:val="00753BB5"/>
    <w:rsid w:val="0075437A"/>
    <w:rsid w:val="007544F1"/>
    <w:rsid w:val="00755E4A"/>
    <w:rsid w:val="007561DF"/>
    <w:rsid w:val="0075672F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6569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A6"/>
    <w:rsid w:val="007A6CFD"/>
    <w:rsid w:val="007A72EE"/>
    <w:rsid w:val="007B0397"/>
    <w:rsid w:val="007B0ADB"/>
    <w:rsid w:val="007B1774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4F1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4D65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304F"/>
    <w:rsid w:val="0080329D"/>
    <w:rsid w:val="008055A9"/>
    <w:rsid w:val="0080742D"/>
    <w:rsid w:val="00807C13"/>
    <w:rsid w:val="008100AC"/>
    <w:rsid w:val="00810C05"/>
    <w:rsid w:val="0081151E"/>
    <w:rsid w:val="0081193A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082"/>
    <w:rsid w:val="00821698"/>
    <w:rsid w:val="00821933"/>
    <w:rsid w:val="008221FE"/>
    <w:rsid w:val="00822BF5"/>
    <w:rsid w:val="00822CBF"/>
    <w:rsid w:val="00823DD9"/>
    <w:rsid w:val="00824894"/>
    <w:rsid w:val="00824CE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016"/>
    <w:rsid w:val="0084186E"/>
    <w:rsid w:val="00842E0C"/>
    <w:rsid w:val="00843A7A"/>
    <w:rsid w:val="00843BFC"/>
    <w:rsid w:val="0084449F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315"/>
    <w:rsid w:val="008659FB"/>
    <w:rsid w:val="0086620A"/>
    <w:rsid w:val="0086709D"/>
    <w:rsid w:val="00867651"/>
    <w:rsid w:val="008677AA"/>
    <w:rsid w:val="00867B5A"/>
    <w:rsid w:val="00870055"/>
    <w:rsid w:val="008701F1"/>
    <w:rsid w:val="00872422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7A4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B58"/>
    <w:rsid w:val="00894FDC"/>
    <w:rsid w:val="008957D3"/>
    <w:rsid w:val="00895CE5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4F4B"/>
    <w:rsid w:val="008A5654"/>
    <w:rsid w:val="008A635A"/>
    <w:rsid w:val="008A673B"/>
    <w:rsid w:val="008A6D62"/>
    <w:rsid w:val="008A77FD"/>
    <w:rsid w:val="008B0006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28C2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8F0"/>
    <w:rsid w:val="008F1D7D"/>
    <w:rsid w:val="008F2908"/>
    <w:rsid w:val="008F47C6"/>
    <w:rsid w:val="008F5687"/>
    <w:rsid w:val="008F65E9"/>
    <w:rsid w:val="008F6647"/>
    <w:rsid w:val="008F69B3"/>
    <w:rsid w:val="008F6A31"/>
    <w:rsid w:val="008F700E"/>
    <w:rsid w:val="00900343"/>
    <w:rsid w:val="009006A2"/>
    <w:rsid w:val="0090102B"/>
    <w:rsid w:val="009011B9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894"/>
    <w:rsid w:val="00912CD4"/>
    <w:rsid w:val="00913359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57D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AE"/>
    <w:rsid w:val="00953FE9"/>
    <w:rsid w:val="00954417"/>
    <w:rsid w:val="0095481C"/>
    <w:rsid w:val="0095526F"/>
    <w:rsid w:val="009565B8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48D9"/>
    <w:rsid w:val="009650AD"/>
    <w:rsid w:val="00965C40"/>
    <w:rsid w:val="00967354"/>
    <w:rsid w:val="00970A76"/>
    <w:rsid w:val="00971256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C27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5F5E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46F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2E6"/>
    <w:rsid w:val="009E5520"/>
    <w:rsid w:val="009E5AF5"/>
    <w:rsid w:val="009E5EB5"/>
    <w:rsid w:val="009E627C"/>
    <w:rsid w:val="009E74F0"/>
    <w:rsid w:val="009E7F23"/>
    <w:rsid w:val="009F011F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36A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B84"/>
    <w:rsid w:val="00A23C01"/>
    <w:rsid w:val="00A23DCA"/>
    <w:rsid w:val="00A240D8"/>
    <w:rsid w:val="00A241F1"/>
    <w:rsid w:val="00A243E4"/>
    <w:rsid w:val="00A2459D"/>
    <w:rsid w:val="00A24E23"/>
    <w:rsid w:val="00A255BD"/>
    <w:rsid w:val="00A2566C"/>
    <w:rsid w:val="00A25809"/>
    <w:rsid w:val="00A25CC9"/>
    <w:rsid w:val="00A25F05"/>
    <w:rsid w:val="00A26491"/>
    <w:rsid w:val="00A276FC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2F07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1AEA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6B48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3DAC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16C4"/>
    <w:rsid w:val="00A7205E"/>
    <w:rsid w:val="00A72348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77BE2"/>
    <w:rsid w:val="00A8011C"/>
    <w:rsid w:val="00A803BC"/>
    <w:rsid w:val="00A806D4"/>
    <w:rsid w:val="00A80969"/>
    <w:rsid w:val="00A811C5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40E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50E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3FB5"/>
    <w:rsid w:val="00AC429F"/>
    <w:rsid w:val="00AC4BBE"/>
    <w:rsid w:val="00AC5051"/>
    <w:rsid w:val="00AC60B4"/>
    <w:rsid w:val="00AC67B6"/>
    <w:rsid w:val="00AC6AF3"/>
    <w:rsid w:val="00AC7AFF"/>
    <w:rsid w:val="00AC7D98"/>
    <w:rsid w:val="00AD00C5"/>
    <w:rsid w:val="00AD165F"/>
    <w:rsid w:val="00AD2794"/>
    <w:rsid w:val="00AD2DC5"/>
    <w:rsid w:val="00AD3455"/>
    <w:rsid w:val="00AD3CAD"/>
    <w:rsid w:val="00AD51AF"/>
    <w:rsid w:val="00AD5A99"/>
    <w:rsid w:val="00AD5C14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89F"/>
    <w:rsid w:val="00AF78EF"/>
    <w:rsid w:val="00AF7D92"/>
    <w:rsid w:val="00B001CD"/>
    <w:rsid w:val="00B011CC"/>
    <w:rsid w:val="00B01B7E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3B9F"/>
    <w:rsid w:val="00B1513F"/>
    <w:rsid w:val="00B15B89"/>
    <w:rsid w:val="00B15BA6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37934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3A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54E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AC27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8671F"/>
    <w:rsid w:val="00B87A2D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1B9B"/>
    <w:rsid w:val="00BA2BC9"/>
    <w:rsid w:val="00BA368C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61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3FC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713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0EEB"/>
    <w:rsid w:val="00C029E7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04"/>
    <w:rsid w:val="00C257B7"/>
    <w:rsid w:val="00C26B59"/>
    <w:rsid w:val="00C272E8"/>
    <w:rsid w:val="00C301A9"/>
    <w:rsid w:val="00C30ABC"/>
    <w:rsid w:val="00C30B60"/>
    <w:rsid w:val="00C31FAA"/>
    <w:rsid w:val="00C329BD"/>
    <w:rsid w:val="00C33359"/>
    <w:rsid w:val="00C339B0"/>
    <w:rsid w:val="00C348D6"/>
    <w:rsid w:val="00C3504C"/>
    <w:rsid w:val="00C355F5"/>
    <w:rsid w:val="00C35BA5"/>
    <w:rsid w:val="00C365E7"/>
    <w:rsid w:val="00C36E34"/>
    <w:rsid w:val="00C3720D"/>
    <w:rsid w:val="00C37623"/>
    <w:rsid w:val="00C37625"/>
    <w:rsid w:val="00C377EB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081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528C"/>
    <w:rsid w:val="00C6584C"/>
    <w:rsid w:val="00C661E8"/>
    <w:rsid w:val="00C6717F"/>
    <w:rsid w:val="00C6795E"/>
    <w:rsid w:val="00C70084"/>
    <w:rsid w:val="00C702F7"/>
    <w:rsid w:val="00C7090B"/>
    <w:rsid w:val="00C70DE2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0F8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554"/>
    <w:rsid w:val="00CA0A93"/>
    <w:rsid w:val="00CA0E56"/>
    <w:rsid w:val="00CA17DD"/>
    <w:rsid w:val="00CA1863"/>
    <w:rsid w:val="00CA1941"/>
    <w:rsid w:val="00CA1943"/>
    <w:rsid w:val="00CA239C"/>
    <w:rsid w:val="00CA26CE"/>
    <w:rsid w:val="00CA391D"/>
    <w:rsid w:val="00CA3ACD"/>
    <w:rsid w:val="00CA4DCC"/>
    <w:rsid w:val="00CA4F8B"/>
    <w:rsid w:val="00CA4FCC"/>
    <w:rsid w:val="00CA50BD"/>
    <w:rsid w:val="00CA5445"/>
    <w:rsid w:val="00CB0007"/>
    <w:rsid w:val="00CB01E9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4142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C6B68"/>
    <w:rsid w:val="00CD078F"/>
    <w:rsid w:val="00CD121E"/>
    <w:rsid w:val="00CD17E3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D94"/>
    <w:rsid w:val="00D345D4"/>
    <w:rsid w:val="00D3462C"/>
    <w:rsid w:val="00D34DEB"/>
    <w:rsid w:val="00D35198"/>
    <w:rsid w:val="00D3584B"/>
    <w:rsid w:val="00D35A85"/>
    <w:rsid w:val="00D35F97"/>
    <w:rsid w:val="00D36964"/>
    <w:rsid w:val="00D36CEC"/>
    <w:rsid w:val="00D37322"/>
    <w:rsid w:val="00D37A1A"/>
    <w:rsid w:val="00D40357"/>
    <w:rsid w:val="00D4081B"/>
    <w:rsid w:val="00D40E1A"/>
    <w:rsid w:val="00D413C3"/>
    <w:rsid w:val="00D42240"/>
    <w:rsid w:val="00D427C3"/>
    <w:rsid w:val="00D42DAE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6F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5E7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8A6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69E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CC5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958"/>
    <w:rsid w:val="00DB7B06"/>
    <w:rsid w:val="00DC043D"/>
    <w:rsid w:val="00DC1034"/>
    <w:rsid w:val="00DC27F2"/>
    <w:rsid w:val="00DC29A8"/>
    <w:rsid w:val="00DC318A"/>
    <w:rsid w:val="00DC33A2"/>
    <w:rsid w:val="00DC3445"/>
    <w:rsid w:val="00DC3819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7F"/>
    <w:rsid w:val="00DD23B7"/>
    <w:rsid w:val="00DD3029"/>
    <w:rsid w:val="00DD31A8"/>
    <w:rsid w:val="00DD3348"/>
    <w:rsid w:val="00DD4292"/>
    <w:rsid w:val="00DD55E0"/>
    <w:rsid w:val="00DD6657"/>
    <w:rsid w:val="00DE032B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2D45"/>
    <w:rsid w:val="00DF4227"/>
    <w:rsid w:val="00DF4359"/>
    <w:rsid w:val="00DF4A0C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14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470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5EB3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64C4"/>
    <w:rsid w:val="00E567C9"/>
    <w:rsid w:val="00E57E1A"/>
    <w:rsid w:val="00E57EFE"/>
    <w:rsid w:val="00E604C4"/>
    <w:rsid w:val="00E605E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8B9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462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2C67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563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158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814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68C0"/>
    <w:rsid w:val="00EF6AD9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A0A"/>
    <w:rsid w:val="00F10A20"/>
    <w:rsid w:val="00F10CB9"/>
    <w:rsid w:val="00F110CD"/>
    <w:rsid w:val="00F110D5"/>
    <w:rsid w:val="00F12351"/>
    <w:rsid w:val="00F14137"/>
    <w:rsid w:val="00F1447D"/>
    <w:rsid w:val="00F15193"/>
    <w:rsid w:val="00F1538F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5CA1"/>
    <w:rsid w:val="00F265F7"/>
    <w:rsid w:val="00F27FA6"/>
    <w:rsid w:val="00F31D62"/>
    <w:rsid w:val="00F33DC8"/>
    <w:rsid w:val="00F3434F"/>
    <w:rsid w:val="00F34444"/>
    <w:rsid w:val="00F34E6B"/>
    <w:rsid w:val="00F358F1"/>
    <w:rsid w:val="00F378F1"/>
    <w:rsid w:val="00F403A1"/>
    <w:rsid w:val="00F403DB"/>
    <w:rsid w:val="00F4065A"/>
    <w:rsid w:val="00F40EC5"/>
    <w:rsid w:val="00F4275C"/>
    <w:rsid w:val="00F434B2"/>
    <w:rsid w:val="00F4467A"/>
    <w:rsid w:val="00F45693"/>
    <w:rsid w:val="00F463EB"/>
    <w:rsid w:val="00F46E6B"/>
    <w:rsid w:val="00F47044"/>
    <w:rsid w:val="00F4731E"/>
    <w:rsid w:val="00F47839"/>
    <w:rsid w:val="00F52339"/>
    <w:rsid w:val="00F5277A"/>
    <w:rsid w:val="00F532E8"/>
    <w:rsid w:val="00F537FF"/>
    <w:rsid w:val="00F54920"/>
    <w:rsid w:val="00F54E36"/>
    <w:rsid w:val="00F560FE"/>
    <w:rsid w:val="00F56433"/>
    <w:rsid w:val="00F60CD6"/>
    <w:rsid w:val="00F6111C"/>
    <w:rsid w:val="00F614C0"/>
    <w:rsid w:val="00F61647"/>
    <w:rsid w:val="00F61DD8"/>
    <w:rsid w:val="00F61F6E"/>
    <w:rsid w:val="00F640BD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355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A48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0D44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0C3B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3A8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367"/>
    <w:rsid w:val="00FF4F92"/>
    <w:rsid w:val="00FF52CF"/>
    <w:rsid w:val="00FF54EB"/>
    <w:rsid w:val="00FF575A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DF17D2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26653D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286600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C9BDF59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6848BA"/>
    <w:rsid w:val="437E63F3"/>
    <w:rsid w:val="4412F6DF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CB27F85"/>
    <w:rsid w:val="5D42AFB5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6F060128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BA6DBED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0586122A-318E-4C09-9FD2-F36BF15E9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5B4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DE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3E16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55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55B4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E16DD"/>
    <w:rPr>
      <w:rFonts w:ascii="Times New Roman" w:hAnsi="Times New Roman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spacing w:after="0"/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</w:pPr>
    <w:rPr>
      <w:rFonts w:eastAsia="Times New Roman"/>
      <w:lang w:eastAsia="zh-CN"/>
    </w:rPr>
  </w:style>
  <w:style w:type="paragraph" w:customStyle="1" w:styleId="Reference">
    <w:name w:val="Reference"/>
    <w:basedOn w:val="EX"/>
    <w:link w:val="ReferenceChar"/>
    <w:uiPriority w:val="99"/>
    <w:qFormat/>
    <w:rsid w:val="00BB6B61"/>
    <w:pPr>
      <w:numPr>
        <w:numId w:val="6"/>
      </w:numPr>
    </w:pPr>
    <w:rPr>
      <w:lang w:val="da-DK" w:eastAsia="da-DK"/>
    </w:rPr>
  </w:style>
  <w:style w:type="character" w:customStyle="1" w:styleId="ReferenceChar">
    <w:name w:val="Reference Char"/>
    <w:link w:val="Reference"/>
    <w:uiPriority w:val="99"/>
    <w:locked/>
    <w:rsid w:val="00BB6B61"/>
    <w:rPr>
      <w:rFonts w:ascii="Times New Roman" w:hAnsi="Times New Roman"/>
      <w:lang w:val="da-DK" w:eastAsia="da-DK"/>
    </w:rPr>
  </w:style>
  <w:style w:type="paragraph" w:customStyle="1" w:styleId="Proposal">
    <w:name w:val="Proposal"/>
    <w:basedOn w:val="Normal"/>
    <w:autoRedefine/>
    <w:qFormat/>
    <w:rsid w:val="00321ED3"/>
    <w:pPr>
      <w:numPr>
        <w:numId w:val="11"/>
      </w:numPr>
      <w:tabs>
        <w:tab w:val="left" w:pos="1080"/>
      </w:tabs>
      <w:spacing w:after="120"/>
      <w:ind w:left="0" w:firstLine="0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8847A4"/>
    <w:pPr>
      <w:numPr>
        <w:numId w:val="13"/>
      </w:numPr>
      <w:tabs>
        <w:tab w:val="clear" w:pos="1080"/>
        <w:tab w:val="left" w:pos="1440"/>
      </w:tabs>
    </w:pPr>
  </w:style>
  <w:style w:type="character" w:styleId="Strong">
    <w:name w:val="Strong"/>
    <w:basedOn w:val="DefaultParagraphFont"/>
    <w:uiPriority w:val="22"/>
    <w:qFormat/>
    <w:rsid w:val="004F7CF1"/>
    <w:rPr>
      <w:b/>
      <w:bCs/>
    </w:rPr>
  </w:style>
  <w:style w:type="character" w:styleId="Emphasis">
    <w:name w:val="Emphasis"/>
    <w:basedOn w:val="DefaultParagraphFont"/>
    <w:uiPriority w:val="20"/>
    <w:qFormat/>
    <w:rsid w:val="004F7CF1"/>
    <w:rPr>
      <w:i/>
      <w:iCs/>
    </w:rPr>
  </w:style>
  <w:style w:type="paragraph" w:customStyle="1" w:styleId="Agreement">
    <w:name w:val="Agreement"/>
    <w:basedOn w:val="Normal"/>
    <w:next w:val="Doc-text2"/>
    <w:uiPriority w:val="99"/>
    <w:qFormat/>
    <w:rsid w:val="00953FAE"/>
    <w:pPr>
      <w:numPr>
        <w:numId w:val="23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4A0DF812D2C408D1353990EABB49F" ma:contentTypeVersion="7" ma:contentTypeDescription="Create a new document." ma:contentTypeScope="" ma:versionID="37c6d37e7e0f90d99f66178f3f2c6220">
  <xsd:schema xmlns:xsd="http://www.w3.org/2001/XMLSchema" xmlns:xs="http://www.w3.org/2001/XMLSchema" xmlns:p="http://schemas.microsoft.com/office/2006/metadata/properties" xmlns:ns2="8e2172fe-9594-4f65-9f54-2c78cc028560" targetNamespace="http://schemas.microsoft.com/office/2006/metadata/properties" ma:root="true" ma:fieldsID="d97a65f9c8b43394cedea83ec1cf93f7" ns2:_="">
    <xsd:import namespace="8e2172fe-9594-4f65-9f54-2c78cc028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172fe-9594-4f65-9f54-2c78cc028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7B77B5-E799-46C8-B5EE-A159AEC34E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1D59C-CBC8-4C02-855F-271745B1C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ECE331-52CE-462E-BD18-FFBA708A7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2172fe-9594-4f65-9f54-2c78cc028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B4ACF3-FD30-4CC9-8C70-7F5238D0A3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umur.karabulut@jio.eu</dc:creator>
  <cp:keywords/>
  <dc:description/>
  <cp:lastModifiedBy>Umur Karabulut (Jio Platforms Limited)</cp:lastModifiedBy>
  <cp:revision>59</cp:revision>
  <dcterms:created xsi:type="dcterms:W3CDTF">2025-09-17T00:06:00Z</dcterms:created>
  <dcterms:modified xsi:type="dcterms:W3CDTF">2026-01-29T23:55:00Z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0x010100CE34A0DF812D2C408D1353990EABB49F</vt:lpwstr>
  </property>
</Properties>
</file>